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902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5837931">
            <w:pPr>
              <w:pStyle w:val="8"/>
              <w:ind w:left="1161" w:hanging="741"/>
              <w:jc w:val="right"/>
              <w:rPr>
                <w:rFonts w:ascii="Times New Roman" w:hAnsi="Times New Roman" w:cs="Times New Roman"/>
                <w:b w:val="0"/>
                <w:color w:val="000000"/>
                <w:sz w:val="24"/>
                <w:szCs w:val="24"/>
              </w:rPr>
            </w:pPr>
            <w:r>
              <w:rPr>
                <w:color w:val="000000"/>
                <w:sz w:val="52"/>
              </w:rPr>
              <w:t xml:space="preserve">             </w:t>
            </w:r>
            <w:r>
              <w:rPr>
                <w:rFonts w:ascii="Times New Roman" w:hAnsi="Times New Roman" w:cs="Times New Roman"/>
                <w:b w:val="0"/>
                <w:color w:val="000000"/>
                <w:sz w:val="24"/>
                <w:szCs w:val="24"/>
              </w:rPr>
              <w:t>1</w:t>
            </w:r>
          </w:p>
          <w:p w14:paraId="2FCD2DE9">
            <w:pPr>
              <w:pStyle w:val="8"/>
              <w:ind w:left="1161" w:hanging="741"/>
              <w:rPr>
                <w:color w:val="000000"/>
                <w:sz w:val="52"/>
              </w:rPr>
            </w:pPr>
          </w:p>
          <w:p w14:paraId="6D6706B4">
            <w:pPr>
              <w:pStyle w:val="8"/>
              <w:ind w:left="1161" w:hanging="741"/>
              <w:rPr>
                <w:color w:val="000000"/>
                <w:sz w:val="52"/>
              </w:rPr>
            </w:pPr>
          </w:p>
          <w:p w14:paraId="24791709">
            <w:pPr>
              <w:pStyle w:val="8"/>
              <w:ind w:left="1161" w:hanging="741"/>
              <w:rPr>
                <w:color w:val="000000"/>
                <w:sz w:val="52"/>
              </w:rPr>
            </w:pPr>
          </w:p>
          <w:p w14:paraId="5475809F">
            <w:pPr>
              <w:pStyle w:val="8"/>
              <w:ind w:left="1161" w:hanging="741"/>
              <w:rPr>
                <w:color w:val="000000"/>
                <w:sz w:val="52"/>
              </w:rPr>
            </w:pPr>
          </w:p>
          <w:p w14:paraId="3AD4311F">
            <w:pPr>
              <w:pStyle w:val="8"/>
              <w:ind w:left="1161" w:hanging="741"/>
              <w:rPr>
                <w:color w:val="000000"/>
                <w:sz w:val="52"/>
              </w:rPr>
            </w:pPr>
          </w:p>
          <w:p w14:paraId="796D5889">
            <w:pPr>
              <w:pStyle w:val="8"/>
              <w:jc w:val="both"/>
              <w:rPr>
                <w:color w:val="000000"/>
                <w:sz w:val="52"/>
              </w:rPr>
            </w:pPr>
          </w:p>
          <w:p w14:paraId="72EA7DA5">
            <w:pPr>
              <w:spacing w:line="360" w:lineRule="auto"/>
              <w:jc w:val="center"/>
              <w:rPr>
                <w:color w:val="000000"/>
              </w:rPr>
            </w:pPr>
            <w:r>
              <w:rPr>
                <w:b/>
                <w:bCs/>
                <w:sz w:val="24"/>
              </w:rPr>
              <w:t>The Application of AI Language Learning Tools in Undergraduates’ Oral English Practice</w:t>
            </w:r>
          </w:p>
          <w:p w14:paraId="28E32924">
            <w:pPr>
              <w:spacing w:line="360" w:lineRule="auto"/>
              <w:jc w:val="center"/>
              <w:rPr>
                <w:rFonts w:ascii="Arial" w:hAnsi="Arial" w:cs="Arial"/>
                <w:b/>
                <w:bCs/>
                <w:color w:val="000000"/>
                <w:sz w:val="30"/>
              </w:rPr>
            </w:pPr>
          </w:p>
          <w:p w14:paraId="2DAE09D8">
            <w:pPr>
              <w:spacing w:line="360" w:lineRule="auto"/>
              <w:jc w:val="center"/>
              <w:rPr>
                <w:rFonts w:ascii="Arial" w:hAnsi="Arial" w:cs="Arial"/>
                <w:b/>
                <w:bCs/>
                <w:color w:val="000000"/>
                <w:sz w:val="30"/>
              </w:rPr>
            </w:pPr>
          </w:p>
          <w:p w14:paraId="08BC6D0D">
            <w:pPr>
              <w:spacing w:line="360" w:lineRule="auto"/>
              <w:jc w:val="center"/>
              <w:rPr>
                <w:rFonts w:hint="default" w:eastAsia="宋体"/>
                <w:b/>
                <w:bCs/>
                <w:color w:val="000000"/>
                <w:sz w:val="24"/>
                <w:lang w:val="en-US" w:eastAsia="zh-CN"/>
              </w:rPr>
            </w:pPr>
            <w:r>
              <w:rPr>
                <w:rFonts w:hint="eastAsia"/>
                <w:b/>
                <w:bCs/>
                <w:color w:val="000000"/>
                <w:sz w:val="24"/>
              </w:rPr>
              <w:t>Lao Zhenting</w:t>
            </w:r>
            <w:r>
              <w:rPr>
                <w:rFonts w:hint="eastAsia"/>
                <w:b/>
                <w:bCs/>
                <w:color w:val="000000"/>
                <w:sz w:val="24"/>
                <w:lang w:val="en-US" w:eastAsia="zh-CN"/>
              </w:rPr>
              <w:t xml:space="preserve">, </w:t>
            </w:r>
            <w:r>
              <w:rPr>
                <w:rFonts w:hint="eastAsia"/>
                <w:b/>
                <w:bCs/>
                <w:color w:val="000000"/>
                <w:sz w:val="24"/>
              </w:rPr>
              <w:t>2550</w:t>
            </w:r>
            <w:r>
              <w:rPr>
                <w:rFonts w:hint="eastAsia"/>
                <w:b/>
                <w:bCs/>
                <w:color w:val="000000"/>
                <w:sz w:val="24"/>
                <w:lang w:val="en-US" w:eastAsia="zh-CN"/>
              </w:rPr>
              <w:t>90</w:t>
            </w:r>
          </w:p>
          <w:p w14:paraId="3FB04D6F">
            <w:pPr>
              <w:spacing w:line="360" w:lineRule="auto"/>
              <w:jc w:val="center"/>
              <w:rPr>
                <w:b/>
                <w:bCs/>
                <w:color w:val="000000"/>
                <w:sz w:val="24"/>
              </w:rPr>
            </w:pPr>
            <w:r>
              <w:rPr>
                <w:b/>
                <w:bCs/>
                <w:color w:val="000000"/>
                <w:sz w:val="24"/>
              </w:rPr>
              <w:t>School of International Education, HEBUT</w:t>
            </w:r>
          </w:p>
          <w:p w14:paraId="699780A0">
            <w:pPr>
              <w:spacing w:line="360" w:lineRule="auto"/>
              <w:jc w:val="center"/>
              <w:rPr>
                <w:b/>
                <w:bCs/>
                <w:color w:val="000000"/>
                <w:sz w:val="24"/>
              </w:rPr>
            </w:pPr>
            <w:r>
              <w:rPr>
                <w:b/>
                <w:bCs/>
                <w:color w:val="000000"/>
                <w:sz w:val="24"/>
              </w:rPr>
              <w:t>EAP Reading and Writing B</w:t>
            </w:r>
          </w:p>
          <w:p w14:paraId="742E6A24">
            <w:pPr>
              <w:spacing w:line="360" w:lineRule="auto"/>
              <w:jc w:val="center"/>
              <w:rPr>
                <w:b/>
                <w:bCs/>
                <w:color w:val="000000"/>
                <w:sz w:val="24"/>
              </w:rPr>
            </w:pPr>
            <w:r>
              <w:rPr>
                <w:rFonts w:hint="eastAsia"/>
                <w:b/>
                <w:bCs/>
                <w:color w:val="000000"/>
                <w:sz w:val="24"/>
              </w:rPr>
              <w:t>Instuctor: Zhang Shanglian</w:t>
            </w:r>
          </w:p>
          <w:p w14:paraId="33AAD61F">
            <w:pPr>
              <w:spacing w:line="360" w:lineRule="auto"/>
              <w:jc w:val="center"/>
              <w:rPr>
                <w:b/>
                <w:bCs/>
                <w:color w:val="000000"/>
                <w:sz w:val="24"/>
              </w:rPr>
            </w:pPr>
            <w:r>
              <w:rPr>
                <w:b/>
                <w:bCs/>
                <w:color w:val="000000"/>
                <w:sz w:val="24"/>
              </w:rPr>
              <w:t>April 22, 2026</w:t>
            </w:r>
          </w:p>
          <w:p w14:paraId="3BE54498">
            <w:pPr>
              <w:spacing w:line="360" w:lineRule="auto"/>
              <w:jc w:val="center"/>
              <w:rPr>
                <w:rFonts w:ascii="Arial" w:hAnsi="Arial" w:cs="Arial"/>
                <w:b/>
                <w:bCs/>
                <w:color w:val="000000"/>
                <w:sz w:val="30"/>
              </w:rPr>
            </w:pPr>
          </w:p>
          <w:p w14:paraId="6585532F">
            <w:pPr>
              <w:spacing w:line="360" w:lineRule="auto"/>
              <w:jc w:val="center"/>
              <w:rPr>
                <w:rFonts w:ascii="Arial" w:hAnsi="Arial" w:cs="Arial"/>
                <w:b/>
                <w:bCs/>
                <w:color w:val="000000"/>
                <w:sz w:val="30"/>
              </w:rPr>
            </w:pPr>
          </w:p>
          <w:p w14:paraId="46D5155B">
            <w:pPr>
              <w:spacing w:line="360" w:lineRule="auto"/>
              <w:jc w:val="center"/>
              <w:rPr>
                <w:rFonts w:ascii="Arial" w:hAnsi="Arial" w:cs="Arial"/>
                <w:b/>
                <w:bCs/>
                <w:color w:val="000000"/>
                <w:sz w:val="30"/>
              </w:rPr>
            </w:pPr>
          </w:p>
          <w:p w14:paraId="77A11162">
            <w:pPr>
              <w:spacing w:line="360" w:lineRule="auto"/>
              <w:jc w:val="center"/>
              <w:rPr>
                <w:rFonts w:ascii="Arial" w:hAnsi="Arial" w:cs="Arial"/>
                <w:b/>
                <w:bCs/>
                <w:color w:val="000000"/>
                <w:sz w:val="30"/>
              </w:rPr>
            </w:pPr>
          </w:p>
          <w:p w14:paraId="7924C7D2">
            <w:pPr>
              <w:spacing w:line="360" w:lineRule="auto"/>
              <w:jc w:val="center"/>
              <w:rPr>
                <w:rFonts w:ascii="Arial" w:hAnsi="Arial" w:cs="Arial"/>
                <w:b/>
                <w:bCs/>
                <w:color w:val="000000"/>
                <w:sz w:val="30"/>
              </w:rPr>
            </w:pPr>
          </w:p>
          <w:p w14:paraId="1312C0CC">
            <w:pPr>
              <w:spacing w:line="360" w:lineRule="auto"/>
              <w:jc w:val="center"/>
              <w:rPr>
                <w:rFonts w:ascii="Arial" w:hAnsi="Arial" w:cs="Arial"/>
                <w:b/>
                <w:bCs/>
                <w:color w:val="000000"/>
                <w:sz w:val="30"/>
              </w:rPr>
            </w:pPr>
          </w:p>
          <w:p w14:paraId="517B0F2D">
            <w:pPr>
              <w:spacing w:line="360" w:lineRule="auto"/>
              <w:jc w:val="center"/>
              <w:rPr>
                <w:rFonts w:ascii="Arial" w:hAnsi="Arial" w:cs="Arial"/>
                <w:b/>
                <w:bCs/>
                <w:color w:val="000000"/>
                <w:sz w:val="30"/>
              </w:rPr>
            </w:pPr>
          </w:p>
        </w:tc>
      </w:tr>
    </w:tbl>
    <w:p w14:paraId="661B4290">
      <w:pPr>
        <w:widowControl/>
        <w:jc w:val="left"/>
        <w:rPr>
          <w:b/>
          <w:bCs/>
          <w:sz w:val="24"/>
        </w:rPr>
      </w:pPr>
    </w:p>
    <w:p w14:paraId="1F790A45">
      <w:pPr>
        <w:widowControl/>
        <w:jc w:val="left"/>
        <w:rPr>
          <w:b/>
          <w:bCs/>
          <w:sz w:val="24"/>
        </w:rPr>
      </w:pPr>
    </w:p>
    <w:p w14:paraId="6E1892FE">
      <w:pPr>
        <w:widowControl/>
        <w:jc w:val="left"/>
        <w:rPr>
          <w:b/>
          <w:bCs/>
          <w:sz w:val="24"/>
        </w:rPr>
      </w:pPr>
      <w:r>
        <w:rPr>
          <w:b/>
          <w:bCs/>
          <w:sz w:val="24"/>
        </w:rPr>
        <w:br w:type="page"/>
      </w:r>
    </w:p>
    <w:p w14:paraId="7EA1DC33">
      <w:pPr>
        <w:spacing w:line="360" w:lineRule="auto"/>
        <w:jc w:val="center"/>
        <w:rPr>
          <w:b/>
          <w:iCs/>
          <w:sz w:val="24"/>
        </w:rPr>
      </w:pPr>
      <w:r>
        <w:rPr>
          <w:b/>
          <w:iCs/>
          <w:sz w:val="24"/>
        </w:rPr>
        <w:t>Formal Statement of Submission</w:t>
      </w:r>
    </w:p>
    <w:p w14:paraId="22898C16">
      <w:pPr>
        <w:spacing w:line="480" w:lineRule="auto"/>
        <w:ind w:firstLine="480" w:firstLineChars="200"/>
        <w:rPr>
          <w:color w:val="000000"/>
          <w:sz w:val="24"/>
        </w:rPr>
      </w:pPr>
      <w:r>
        <w:rPr>
          <w:color w:val="000000"/>
          <w:sz w:val="24"/>
        </w:rPr>
        <w:t>Course Name: EAP</w:t>
      </w:r>
      <w:r>
        <w:rPr>
          <w:rFonts w:hint="eastAsia"/>
          <w:color w:val="000000"/>
          <w:sz w:val="24"/>
        </w:rPr>
        <w:t xml:space="preserve"> </w:t>
      </w:r>
      <w:r>
        <w:rPr>
          <w:color w:val="000000"/>
          <w:sz w:val="24"/>
        </w:rPr>
        <w:t>Reading and Writing</w:t>
      </w:r>
    </w:p>
    <w:p w14:paraId="11CFEFB4">
      <w:pPr>
        <w:spacing w:line="480" w:lineRule="auto"/>
        <w:ind w:firstLine="480" w:firstLineChars="200"/>
        <w:rPr>
          <w:color w:val="000000"/>
          <w:sz w:val="24"/>
        </w:rPr>
      </w:pPr>
      <w:r>
        <w:rPr>
          <w:color w:val="000000"/>
          <w:sz w:val="24"/>
        </w:rPr>
        <w:t>This formal statement accompanies the submitted research essay regarding the use of Artificial Intelligence in freshmen academic writing.</w:t>
      </w:r>
    </w:p>
    <w:p w14:paraId="712B7958">
      <w:pPr>
        <w:spacing w:line="480" w:lineRule="auto"/>
        <w:ind w:firstLine="480" w:firstLineChars="200"/>
        <w:rPr>
          <w:color w:val="000000"/>
          <w:sz w:val="24"/>
        </w:rPr>
      </w:pPr>
      <w:r>
        <w:rPr>
          <w:color w:val="000000"/>
          <w:sz w:val="24"/>
        </w:rPr>
        <w:t>Please be advised that this is for assignments required to complete the coursework for the aforementioned class. The primary objective of this project is mainly to learn to write at a university level, to practice structuring a mixed-methods research paper, and to better understand academic integrity, including what to copy yourself and what must be properly cited from external sources.</w:t>
      </w:r>
    </w:p>
    <w:p w14:paraId="2BDB2493">
      <w:pPr>
        <w:spacing w:line="480" w:lineRule="auto"/>
        <w:ind w:firstLine="480" w:firstLineChars="200"/>
        <w:rPr>
          <w:color w:val="000000"/>
          <w:sz w:val="24"/>
        </w:rPr>
      </w:pPr>
      <w:r>
        <w:rPr>
          <w:color w:val="000000"/>
          <w:sz w:val="24"/>
        </w:rPr>
        <w:t>Furthermore, I declare that this manuscript is strictly for educational evaluation and grading purposes; this won’t be published in any academic journal, public repository, or online platform.</w:t>
      </w:r>
    </w:p>
    <w:p w14:paraId="14D883CB">
      <w:pPr>
        <w:widowControl/>
        <w:jc w:val="left"/>
        <w:rPr>
          <w:b/>
          <w:bCs/>
          <w:sz w:val="24"/>
        </w:rPr>
      </w:pPr>
    </w:p>
    <w:p w14:paraId="431B7CCD">
      <w:pPr>
        <w:widowControl/>
        <w:jc w:val="left"/>
        <w:rPr>
          <w:b/>
          <w:bCs/>
          <w:sz w:val="24"/>
        </w:rPr>
      </w:pPr>
      <w:r>
        <w:rPr>
          <w:b/>
          <w:bCs/>
          <w:sz w:val="24"/>
        </w:rPr>
        <w:br w:type="page"/>
      </w:r>
    </w:p>
    <w:p w14:paraId="695ACCBE">
      <w:pPr>
        <w:spacing w:line="360" w:lineRule="auto"/>
        <w:jc w:val="center"/>
        <w:rPr>
          <w:b/>
          <w:iCs/>
          <w:sz w:val="24"/>
        </w:rPr>
      </w:pPr>
      <w:r>
        <w:rPr>
          <w:b/>
          <w:iCs/>
          <w:sz w:val="24"/>
        </w:rPr>
        <w:t>Abstract</w:t>
      </w:r>
    </w:p>
    <w:p w14:paraId="0550E2CE">
      <w:pPr>
        <w:spacing w:line="480" w:lineRule="auto"/>
        <w:ind w:firstLine="480" w:firstLineChars="200"/>
        <w:rPr>
          <w:color w:val="000000"/>
          <w:sz w:val="24"/>
        </w:rPr>
      </w:pPr>
      <w:r>
        <w:rPr>
          <w:color w:val="000000"/>
          <w:sz w:val="24"/>
        </w:rPr>
        <w:t>With the progressive evolution of artificial intelligence, diversified AI-driven English learning applications have gained extensive popularity within university English education. Nevertheless, Chinese undergraduates continuously encounter prominent obstacles in oral English practice, such as inadequate authentic conversation partners, high communication anxiety in face-to-face interaction and lack of instant professional feedback on pronunciation and expressions. This empirical study evaluates the practical effectiveness of AI learning tools on oral proficiency improvement and explores undergraduates’ usage patterns, learning experience and subjective attitudes towards such digital resources. Research data are gathered from 50 undergraduates of different grades and majors via questionnaires and semi-structured interviews.</w:t>
      </w:r>
    </w:p>
    <w:p w14:paraId="5615D30C">
      <w:pPr>
        <w:spacing w:line="480" w:lineRule="auto"/>
        <w:ind w:firstLine="480" w:firstLineChars="200"/>
        <w:rPr>
          <w:i/>
          <w:iCs/>
          <w:sz w:val="24"/>
        </w:rPr>
      </w:pPr>
      <w:r>
        <w:rPr>
          <w:color w:val="000000"/>
          <w:sz w:val="24"/>
        </w:rPr>
        <w:t>Survey outcomes reveal regular out-of-class adoption of AI oral learning tools among most participants, with roughly 80% of respondents reporting satisfied or highly satisfied learning experience. Intelligent learning software provides unrestricted, low-anxiety practice scenarios accessible anytime, alongside immediate corrective feedback covering pronunciation, grammar and oral fluency, which effectively improves learners’ spoken English and enhances their communication confidence. In contrast, improper usage leads to obvious drawbacks including excessive reliance on machine answers and weakened independent thinking; basic-level AI systems occasionally output inaccurate diagnostic feedback. Based on empirical findings, this paper puts forward rational usage suggestions for student users and delivers referential implications for college oral English teaching reform.</w:t>
      </w:r>
    </w:p>
    <w:p w14:paraId="01480D10">
      <w:pPr>
        <w:spacing w:line="360" w:lineRule="auto"/>
        <w:rPr>
          <w:i/>
          <w:iCs/>
        </w:rPr>
      </w:pPr>
      <w:r>
        <w:rPr>
          <w:i/>
          <w:iCs/>
          <w:sz w:val="24"/>
        </w:rPr>
        <w:t>Key words: AI language learning tools; undergraduates; oral English practice; learning feedback</w:t>
      </w:r>
    </w:p>
    <w:p w14:paraId="3F27D5DA">
      <w:pPr>
        <w:widowControl/>
        <w:jc w:val="left"/>
        <w:rPr>
          <w:b/>
          <w:bCs/>
          <w:sz w:val="24"/>
        </w:rPr>
      </w:pPr>
      <w:r>
        <w:rPr>
          <w:b/>
          <w:bCs/>
          <w:sz w:val="24"/>
        </w:rPr>
        <w:br w:type="page"/>
      </w:r>
    </w:p>
    <w:p w14:paraId="1BC12743">
      <w:pPr>
        <w:spacing w:line="480" w:lineRule="auto"/>
        <w:jc w:val="center"/>
        <w:rPr>
          <w:b/>
          <w:bCs/>
          <w:color w:val="000000"/>
          <w:sz w:val="24"/>
        </w:rPr>
      </w:pPr>
      <w:r>
        <w:rPr>
          <w:b/>
          <w:bCs/>
          <w:color w:val="000000"/>
          <w:sz w:val="24"/>
        </w:rPr>
        <w:t>Introduction</w:t>
      </w:r>
    </w:p>
    <w:p w14:paraId="5819664D">
      <w:pPr>
        <w:spacing w:line="480" w:lineRule="auto"/>
        <w:ind w:firstLine="480" w:firstLineChars="200"/>
        <w:rPr>
          <w:i/>
          <w:iCs/>
          <w:color w:val="000000"/>
          <w:sz w:val="24"/>
        </w:rPr>
      </w:pPr>
      <w:r>
        <w:rPr>
          <w:i/>
          <w:iCs/>
          <w:color w:val="000000"/>
          <w:sz w:val="24"/>
        </w:rPr>
        <w:t>1.1 Research Background and Research Rationale</w:t>
      </w:r>
    </w:p>
    <w:p w14:paraId="3C37145D">
      <w:pPr>
        <w:spacing w:line="480" w:lineRule="auto"/>
        <w:ind w:firstLine="480" w:firstLineChars="200"/>
        <w:rPr>
          <w:color w:val="000000"/>
          <w:sz w:val="24"/>
        </w:rPr>
      </w:pPr>
      <w:r>
        <w:rPr>
          <w:color w:val="000000"/>
          <w:sz w:val="24"/>
        </w:rPr>
        <w:t>Oral English learning has long remained a prominent difficulty for Chinese EFL undergraduates under traditional classroom teaching arrangements (Wang, 2024). Restricted by campus environment and curriculum arrangement, most university students have limited access to native English speakers and cannot obtain timely professional evaluation of oral mistakes in daily study. In recent years, intelligent language learning platforms represented by ELSA Speak and ChatGPT have rapidly expanded their user base among college students, breaking temporal and spatial restrictions of conventional oral training (Zou et al., 2024). Given the wide application of such digital tools, it becomes essential to conduct targeted research verifying their actual teaching value in domestic university oral education.</w:t>
      </w:r>
    </w:p>
    <w:p w14:paraId="4D864F2A">
      <w:pPr>
        <w:spacing w:line="480" w:lineRule="auto"/>
        <w:ind w:firstLine="480" w:firstLineChars="200"/>
        <w:rPr>
          <w:i/>
          <w:iCs/>
          <w:color w:val="000000"/>
          <w:sz w:val="24"/>
        </w:rPr>
      </w:pPr>
      <w:r>
        <w:rPr>
          <w:i/>
          <w:iCs/>
          <w:color w:val="000000"/>
          <w:sz w:val="24"/>
        </w:rPr>
        <w:t>1.2 Research Purposes</w:t>
      </w:r>
    </w:p>
    <w:p w14:paraId="12D139CF">
      <w:pPr>
        <w:spacing w:line="480" w:lineRule="auto"/>
        <w:ind w:firstLine="480" w:firstLineChars="200"/>
        <w:rPr>
          <w:color w:val="000000"/>
          <w:sz w:val="24"/>
        </w:rPr>
      </w:pPr>
      <w:r>
        <w:rPr>
          <w:color w:val="000000"/>
          <w:sz w:val="24"/>
        </w:rPr>
        <w:t>This research intends to systematically investigate undergraduates’ daily application of AI oral learning tools, including usage frequency, preferred application types and highly recognized functional modules. It further examines whether AI-assisted practice can fix phonetic errors, reduce public-speaking anxiety and boost learners’ willingness for real-world English communication. Meanwhile, the study summarizes typical problems triggered by inappropriate tool application, such as over-dependence on artificial intelligence and insufficient accuracy of machine pronunciation correction. All collected evidence aims to formulate feasible suggestions to standardize students’ daily oral learning with digital resources.</w:t>
      </w:r>
    </w:p>
    <w:p w14:paraId="6873D764">
      <w:pPr>
        <w:spacing w:line="480" w:lineRule="auto"/>
        <w:ind w:firstLine="480" w:firstLineChars="200"/>
        <w:rPr>
          <w:i/>
          <w:iCs/>
          <w:color w:val="000000"/>
          <w:sz w:val="24"/>
        </w:rPr>
      </w:pPr>
      <w:r>
        <w:rPr>
          <w:i/>
          <w:iCs/>
          <w:color w:val="000000"/>
          <w:sz w:val="24"/>
        </w:rPr>
        <w:t>1.3 Research Significance</w:t>
      </w:r>
    </w:p>
    <w:p w14:paraId="262FB76B">
      <w:pPr>
        <w:spacing w:line="480" w:lineRule="auto"/>
        <w:ind w:firstLine="480" w:firstLineChars="200"/>
        <w:rPr>
          <w:color w:val="000000"/>
          <w:sz w:val="24"/>
        </w:rPr>
      </w:pPr>
      <w:r>
        <w:rPr>
          <w:color w:val="000000"/>
          <w:sz w:val="24"/>
        </w:rPr>
        <w:t>Theoretically, research conclusions supplement localized empirical data on AI-assisted EFL oral teaching in Chinese universities and enrich existing domestic research on digital second language acquisition (Lin, 2021). Practically, relevant findings help undergraduates select suitable learning software and develop scientific practicing plans. For university English instructors, research results can inspire updated teaching designs that combine traditional classroom activities with intelligent auxiliary resources to make up for insufficient in-class speaking opportunities.</w:t>
      </w:r>
    </w:p>
    <w:p w14:paraId="6D52A40B">
      <w:pPr>
        <w:spacing w:line="480" w:lineRule="auto"/>
        <w:ind w:firstLine="480" w:firstLineChars="200"/>
        <w:rPr>
          <w:i/>
          <w:iCs/>
          <w:color w:val="000000"/>
          <w:sz w:val="24"/>
        </w:rPr>
      </w:pPr>
      <w:r>
        <w:rPr>
          <w:i/>
          <w:iCs/>
          <w:color w:val="000000"/>
          <w:sz w:val="24"/>
        </w:rPr>
        <w:t>1.4 Paper Structure</w:t>
      </w:r>
    </w:p>
    <w:p w14:paraId="6FC1E3F2">
      <w:pPr>
        <w:spacing w:line="480" w:lineRule="auto"/>
        <w:ind w:firstLine="480" w:firstLineChars="200"/>
        <w:rPr>
          <w:color w:val="000000"/>
          <w:sz w:val="24"/>
        </w:rPr>
      </w:pPr>
      <w:r>
        <w:rPr>
          <w:color w:val="000000"/>
          <w:sz w:val="24"/>
        </w:rPr>
        <w:t>Four core sections compose the whole paper. The current introduction elaborates research background, core goals and research value. The literature review sorts out relevant theories and previous academic achievements concerning AI oral learning. The methodology section explains concrete sampling rules and data-collection approaches. The appendix attaches original questionnaire statistics, followed by data analysis, discussion and conclusion.</w:t>
      </w:r>
    </w:p>
    <w:p w14:paraId="0A67A0AC">
      <w:pPr>
        <w:spacing w:line="480" w:lineRule="auto"/>
        <w:rPr>
          <w:color w:val="000000"/>
          <w:sz w:val="24"/>
        </w:rPr>
      </w:pPr>
    </w:p>
    <w:p w14:paraId="44E08BD3">
      <w:pPr>
        <w:spacing w:line="360" w:lineRule="auto"/>
        <w:jc w:val="center"/>
        <w:rPr>
          <w:b/>
          <w:bCs/>
          <w:color w:val="000000"/>
          <w:sz w:val="24"/>
        </w:rPr>
      </w:pPr>
      <w:r>
        <w:rPr>
          <w:b/>
          <w:bCs/>
          <w:color w:val="000000"/>
          <w:sz w:val="24"/>
        </w:rPr>
        <w:t>Literature Review</w:t>
      </w:r>
    </w:p>
    <w:p w14:paraId="5D644655">
      <w:pPr>
        <w:spacing w:line="480" w:lineRule="auto"/>
        <w:rPr>
          <w:color w:val="000000"/>
          <w:sz w:val="24"/>
        </w:rPr>
      </w:pPr>
      <w:r>
        <w:rPr>
          <w:color w:val="000000"/>
          <w:sz w:val="24"/>
        </w:rPr>
        <w:t>This chapter sorts out core second-language acquisition theories, proven advantages and existing drawbacks of AI oral learning from published literature, establishing theoretical foundations for the present empirical research.</w:t>
      </w:r>
    </w:p>
    <w:p w14:paraId="449A38A5">
      <w:pPr>
        <w:spacing w:line="480" w:lineRule="auto"/>
        <w:ind w:firstLine="480" w:firstLineChars="200"/>
        <w:rPr>
          <w:i/>
          <w:iCs/>
          <w:color w:val="000000"/>
          <w:sz w:val="24"/>
        </w:rPr>
      </w:pPr>
      <w:r>
        <w:rPr>
          <w:i/>
          <w:iCs/>
          <w:color w:val="000000"/>
          <w:sz w:val="24"/>
        </w:rPr>
        <w:t>2.1 Core Theoretical Foundations for AI-Assisted Oral Training</w:t>
      </w:r>
    </w:p>
    <w:p w14:paraId="4AF06227">
      <w:pPr>
        <w:spacing w:line="480" w:lineRule="auto"/>
        <w:rPr>
          <w:color w:val="000000"/>
          <w:sz w:val="24"/>
        </w:rPr>
      </w:pPr>
      <w:r>
        <w:rPr>
          <w:color w:val="000000"/>
          <w:sz w:val="24"/>
        </w:rPr>
        <w:t>Two classic second-language acquisition theories lay theoretical support for the application of intelligent language tools (Brown, 2014). The Input-Interaction-Output Model indicates three essential links of effective oral learning: qualified language input, interactive communication and active oral output. AI platforms can satisfy all three requirements by providing abundant daily conversational corpus as input, acting as permanent virtual dialogue partners and giving targeted feedback after learners’ oral output. Constructivism holds that learners gradually construct language knowledge with appropriate scaffolding support rather than passive knowledge reception; personalized error correction and graded repetitive exercises supplied by AI applications fit perfectly with such learner-centered learning rules (Chapelle, 2003).</w:t>
      </w:r>
    </w:p>
    <w:p w14:paraId="530F1E86">
      <w:pPr>
        <w:spacing w:line="480" w:lineRule="auto"/>
        <w:ind w:firstLine="480" w:firstLineChars="200"/>
        <w:rPr>
          <w:i/>
          <w:iCs/>
          <w:color w:val="000000"/>
          <w:sz w:val="24"/>
        </w:rPr>
      </w:pPr>
      <w:r>
        <w:rPr>
          <w:i/>
          <w:iCs/>
          <w:color w:val="000000"/>
          <w:sz w:val="24"/>
        </w:rPr>
        <w:t>2.2 Positive Effects of AI Tools on Undergraduates’ Oral Practice</w:t>
      </w:r>
    </w:p>
    <w:p w14:paraId="3857EAF6">
      <w:pPr>
        <w:spacing w:line="480" w:lineRule="auto"/>
        <w:rPr>
          <w:color w:val="000000"/>
          <w:sz w:val="24"/>
        </w:rPr>
      </w:pPr>
      <w:r>
        <w:rPr>
          <w:color w:val="000000"/>
          <w:sz w:val="24"/>
        </w:rPr>
        <w:t>Multiple previous studies have verified the unique strengths of AI learning applications in spoken English training. Different from face-to-face classroom drills, digital tools enable users to practice repeatedly without psychological pressure from peer judgment (Pappas, 2022). Automated pronunciation assessment technology can instantly detect incorrect phonemes, word stress and abnormal intonation, realizing faster error correction than delayed teacher comments in large-size English classes (Li &amp; Hegelheimer, 2013; Loor et al., 2024). Such convenient feedback mechanism helps learners fix pronunciation defects efficiently and steadily improve oral accuracy through continuous repeated training.</w:t>
      </w:r>
    </w:p>
    <w:p w14:paraId="783B0C70">
      <w:pPr>
        <w:spacing w:line="480" w:lineRule="auto"/>
        <w:ind w:firstLine="480" w:firstLineChars="200"/>
        <w:rPr>
          <w:i/>
          <w:iCs/>
          <w:color w:val="000000"/>
          <w:sz w:val="24"/>
        </w:rPr>
      </w:pPr>
      <w:r>
        <w:rPr>
          <w:i/>
          <w:iCs/>
          <w:color w:val="000000"/>
          <w:sz w:val="24"/>
        </w:rPr>
        <w:t>2.3 Deficiencies and Risks of Improper AI Utilization</w:t>
      </w:r>
    </w:p>
    <w:p w14:paraId="746E5758">
      <w:pPr>
        <w:spacing w:line="480" w:lineRule="auto"/>
        <w:rPr>
          <w:color w:val="000000"/>
          <w:sz w:val="24"/>
        </w:rPr>
      </w:pPr>
      <w:r>
        <w:rPr>
          <w:color w:val="000000"/>
          <w:sz w:val="24"/>
        </w:rPr>
        <w:t>Existing academic papers also record negative influences caused by uncontrolled dependence on artificial intelligence. Excessive reliance on pre-set AI replies prevents learners from independent thinking and spontaneous oral expression, gradually damaging the ability of autonomous language output (Grab, 2023). Besides, constrained by current algorithm technology, most civilian AI learning software cannot identify subtle prosodic mistakes, leaving partial pronunciation problems uncorrected (Loor et al., 2024). Some learners only turn to AI tools for last-minute exam preparation instead of long-term persistent practice, resulting in unsustainable improvement of oral competence. Meanwhile, most prior research focuses on general AI language teaching effects, while few studies target the daily practical usage among Chinese undergraduates, which creates the research gap this paper intends to fill.</w:t>
      </w:r>
    </w:p>
    <w:p w14:paraId="05148018">
      <w:pPr>
        <w:spacing w:line="480" w:lineRule="auto"/>
        <w:jc w:val="center"/>
        <w:rPr>
          <w:b/>
          <w:bCs/>
          <w:color w:val="000000"/>
          <w:sz w:val="24"/>
        </w:rPr>
      </w:pPr>
      <w:r>
        <w:rPr>
          <w:b/>
          <w:bCs/>
          <w:color w:val="000000"/>
          <w:sz w:val="24"/>
        </w:rPr>
        <w:t>Methodology</w:t>
      </w:r>
    </w:p>
    <w:p w14:paraId="775B70AE">
      <w:pPr>
        <w:spacing w:line="480" w:lineRule="auto"/>
        <w:ind w:firstLine="480" w:firstLineChars="200"/>
        <w:rPr>
          <w:i/>
          <w:iCs/>
          <w:color w:val="000000"/>
          <w:sz w:val="24"/>
        </w:rPr>
      </w:pPr>
      <w:r>
        <w:rPr>
          <w:i/>
          <w:iCs/>
          <w:color w:val="000000"/>
          <w:sz w:val="24"/>
        </w:rPr>
        <w:t>3.1 Research Design</w:t>
      </w:r>
    </w:p>
    <w:p w14:paraId="7C55A3DE">
      <w:pPr>
        <w:spacing w:line="480" w:lineRule="auto"/>
        <w:ind w:firstLine="480" w:firstLineChars="200"/>
        <w:rPr>
          <w:color w:val="000000"/>
          <w:sz w:val="24"/>
        </w:rPr>
      </w:pPr>
      <w:r>
        <w:rPr>
          <w:color w:val="000000"/>
          <w:sz w:val="24"/>
        </w:rPr>
        <w:t>Mixed qualitative and quantitative methods are adopted in this study. Quantitative data are obtained via standardized questionnaires to count participants’ tool-using frequency and satisfaction degree; qualitative information comes from semi-structured short interviews, which collect in-depth personal experience and hidden drawbacks of AI learning from selected respondents.</w:t>
      </w:r>
    </w:p>
    <w:p w14:paraId="39687D6C">
      <w:pPr>
        <w:spacing w:line="480" w:lineRule="auto"/>
        <w:ind w:firstLine="480" w:firstLineChars="200"/>
        <w:rPr>
          <w:i/>
          <w:iCs/>
          <w:color w:val="000000"/>
          <w:sz w:val="24"/>
        </w:rPr>
      </w:pPr>
      <w:r>
        <w:rPr>
          <w:i/>
          <w:iCs/>
          <w:color w:val="000000"/>
          <w:sz w:val="24"/>
        </w:rPr>
        <w:t>3.2 Participant Sampling</w:t>
      </w:r>
    </w:p>
    <w:p w14:paraId="7D5B0604">
      <w:pPr>
        <w:spacing w:line="480" w:lineRule="auto"/>
        <w:ind w:firstLine="480" w:firstLineChars="200"/>
        <w:rPr>
          <w:color w:val="000000"/>
          <w:sz w:val="24"/>
        </w:rPr>
      </w:pPr>
      <w:r>
        <w:rPr>
          <w:color w:val="000000"/>
          <w:sz w:val="24"/>
        </w:rPr>
        <w:t>A total of 50 undergraduate participants from diverse majors and different academic years of one local university are selected via convenient sampling. The sample covers arts, engineering and economics majors to avoid excessive data bias brought by single disciplinary background. All participants have access to smartphones and common AI oral learning software, ensuring valid research data collection.</w:t>
      </w:r>
    </w:p>
    <w:p w14:paraId="562646D7">
      <w:pPr>
        <w:spacing w:line="480" w:lineRule="auto"/>
        <w:ind w:firstLine="480" w:firstLineChars="200"/>
        <w:rPr>
          <w:i/>
          <w:iCs/>
          <w:color w:val="000000"/>
          <w:sz w:val="24"/>
        </w:rPr>
      </w:pPr>
      <w:r>
        <w:rPr>
          <w:i/>
          <w:iCs/>
          <w:color w:val="000000"/>
          <w:sz w:val="24"/>
        </w:rPr>
        <w:t>3.3 Research Instruments</w:t>
      </w:r>
    </w:p>
    <w:p w14:paraId="19BA4CBE">
      <w:pPr>
        <w:spacing w:line="480" w:lineRule="auto"/>
        <w:ind w:firstLine="480" w:firstLineChars="200"/>
        <w:rPr>
          <w:color w:val="000000"/>
          <w:sz w:val="24"/>
        </w:rPr>
      </w:pPr>
      <w:r>
        <w:rPr>
          <w:color w:val="000000"/>
          <w:sz w:val="24"/>
        </w:rPr>
        <w:t>Two research instruments are used in this investigation. First, self-designed questionnaires include two core dimensions: frequency of weekly AI tool application and overall satisfaction towards learning effects. Second, semi-structured interview outlines focus on hidden learning problems such as over-reliance on AI and inaccuracy of machine feedback; around 10% of total respondents are randomly selected for short follow-up interviews after questionnaire submission.</w:t>
      </w:r>
    </w:p>
    <w:p w14:paraId="74785E55">
      <w:pPr>
        <w:spacing w:line="480" w:lineRule="auto"/>
        <w:ind w:firstLine="480" w:firstLineChars="200"/>
        <w:rPr>
          <w:i/>
          <w:iCs/>
          <w:color w:val="000000"/>
          <w:sz w:val="24"/>
        </w:rPr>
      </w:pPr>
      <w:r>
        <w:rPr>
          <w:i/>
          <w:iCs/>
          <w:color w:val="000000"/>
          <w:sz w:val="24"/>
        </w:rPr>
        <w:t>3.4 Research Procedures</w:t>
      </w:r>
    </w:p>
    <w:p w14:paraId="257AFD57">
      <w:pPr>
        <w:spacing w:line="480" w:lineRule="auto"/>
        <w:ind w:firstLine="480" w:firstLineChars="200"/>
        <w:rPr>
          <w:color w:val="000000"/>
          <w:sz w:val="24"/>
        </w:rPr>
      </w:pPr>
      <w:r>
        <w:rPr>
          <w:color w:val="000000"/>
          <w:sz w:val="24"/>
        </w:rPr>
        <w:t>Questionnaires are distributed and collected offline uniformly within three days. After finishing data sorting and numerical statistics, targeted interviewees are arranged for offline casual conversations to supplement information unreflected by quantitative forms. All original data are classified and summarized for subsequent result analysis.</w:t>
      </w:r>
    </w:p>
    <w:p w14:paraId="766C38E7">
      <w:pPr>
        <w:spacing w:line="480" w:lineRule="auto"/>
        <w:ind w:firstLine="480" w:firstLineChars="200"/>
        <w:rPr>
          <w:color w:val="000000"/>
          <w:sz w:val="24"/>
        </w:rPr>
      </w:pPr>
    </w:p>
    <w:p w14:paraId="19BF0DB5">
      <w:pPr>
        <w:pStyle w:val="4"/>
        <w:spacing w:line="360" w:lineRule="auto"/>
        <w:jc w:val="center"/>
        <w:rPr>
          <w:color w:val="000000"/>
          <w:sz w:val="24"/>
        </w:rPr>
      </w:pPr>
      <w:r>
        <w:rPr>
          <w:color w:val="000000"/>
          <w:sz w:val="24"/>
        </w:rPr>
        <w:t>Data Analysis</w:t>
      </w:r>
    </w:p>
    <w:p w14:paraId="08843C82">
      <w:pPr>
        <w:spacing w:line="480" w:lineRule="auto"/>
        <w:ind w:firstLine="480" w:firstLineChars="200"/>
        <w:rPr>
          <w:color w:val="000000"/>
          <w:sz w:val="24"/>
        </w:rPr>
      </w:pPr>
      <w:r>
        <w:rPr>
          <w:color w:val="000000"/>
          <w:sz w:val="24"/>
        </w:rPr>
        <w:t>Quantitative statistics combined with interview records draw two core conclusions. On the positive side, flexible service mode and instant corrective feedback enable AI tools to effectively enrich after-class oral practicing resources and reduce learners’ communication anxiety, explaining the high popularity and satisfaction among surveyed students. On the negative side, interview content reveals obvious hidden risks: roughly one fifth of sampled learners form excessive reliance on AI-generated sentences and stop independent oral drafting; occasional inaccurate pronunciation feedback from low-end applications also hinders effective error correction, consistent with the negative findings recorded in existing literature (Zou et al., 2024).</w:t>
      </w:r>
    </w:p>
    <w:p w14:paraId="403333E4">
      <w:pPr>
        <w:spacing w:line="480" w:lineRule="auto"/>
        <w:ind w:firstLine="480" w:firstLineChars="200"/>
        <w:rPr>
          <w:color w:val="000000"/>
          <w:sz w:val="24"/>
        </w:rPr>
      </w:pPr>
    </w:p>
    <w:p w14:paraId="2A42DC0A">
      <w:pPr>
        <w:rPr>
          <w:b/>
          <w:bCs/>
          <w:color w:val="000000"/>
          <w:sz w:val="24"/>
        </w:rPr>
      </w:pPr>
      <w:r>
        <w:rPr>
          <w:b/>
          <w:bCs/>
          <w:color w:val="000000"/>
          <w:sz w:val="24"/>
        </w:rPr>
        <w:br w:type="page"/>
      </w:r>
    </w:p>
    <w:p w14:paraId="3BFC5815">
      <w:pPr>
        <w:spacing w:line="360" w:lineRule="auto"/>
        <w:jc w:val="center"/>
        <w:rPr>
          <w:b/>
          <w:bCs/>
          <w:color w:val="000000"/>
          <w:sz w:val="24"/>
        </w:rPr>
      </w:pPr>
      <w:r>
        <w:rPr>
          <w:b/>
          <w:bCs/>
          <w:color w:val="000000"/>
          <w:sz w:val="24"/>
        </w:rPr>
        <w:t>Discussion and Suggestions</w:t>
      </w:r>
    </w:p>
    <w:p w14:paraId="246AC6C6">
      <w:pPr>
        <w:spacing w:line="480" w:lineRule="auto"/>
        <w:ind w:firstLine="480" w:firstLineChars="200"/>
        <w:rPr>
          <w:i/>
          <w:iCs/>
          <w:color w:val="000000"/>
          <w:sz w:val="24"/>
        </w:rPr>
      </w:pPr>
      <w:r>
        <w:rPr>
          <w:i/>
          <w:iCs/>
          <w:color w:val="000000"/>
          <w:sz w:val="24"/>
        </w:rPr>
        <w:t>5.1 Discussion of Research Outcomes</w:t>
      </w:r>
    </w:p>
    <w:p w14:paraId="19FF2161">
      <w:pPr>
        <w:spacing w:line="480" w:lineRule="auto"/>
        <w:ind w:firstLine="480" w:firstLineChars="200"/>
        <w:rPr>
          <w:color w:val="000000"/>
          <w:sz w:val="24"/>
        </w:rPr>
      </w:pPr>
      <w:r>
        <w:rPr>
          <w:color w:val="000000"/>
          <w:sz w:val="24"/>
        </w:rPr>
        <w:t>Consistent with previous research conclusions from Loor et al. (2024) and Wang (2024), empirical data in this study confirm AI language tools serve as effective supplementary resources rather than substitutes for traditional oral English education. The anytime-anywhere practicing mode effectively solves the long-standing shortage of offline conversation partners in Chinese university English learning, while automated feedback makes up the deficiency of insufficient personalized teacher guidance under large-class teaching mode. Nevertheless, technological limitation and inappropriate learning habits restrict the full play of AI’s educational potential. Current algorithms cannot perceive complex emotional meaning and implied information in real daily dialogue, so human-to-human face-to-face communication remains irreplaceable for cultivating practical communicative competence.</w:t>
      </w:r>
    </w:p>
    <w:p w14:paraId="21A756F0">
      <w:pPr>
        <w:spacing w:line="480" w:lineRule="auto"/>
        <w:ind w:firstLine="480" w:firstLineChars="200"/>
        <w:rPr>
          <w:i/>
          <w:iCs/>
          <w:color w:val="000000"/>
          <w:sz w:val="24"/>
        </w:rPr>
      </w:pPr>
      <w:r>
        <w:rPr>
          <w:i/>
          <w:iCs/>
          <w:color w:val="000000"/>
          <w:sz w:val="24"/>
        </w:rPr>
        <w:t>5.2 Practical Suggestions</w:t>
      </w:r>
    </w:p>
    <w:p w14:paraId="3702E53C">
      <w:pPr>
        <w:spacing w:line="480" w:lineRule="auto"/>
        <w:ind w:firstLine="480" w:firstLineChars="200"/>
        <w:rPr>
          <w:color w:val="000000"/>
          <w:sz w:val="24"/>
        </w:rPr>
      </w:pPr>
      <w:r>
        <w:rPr>
          <w:color w:val="000000"/>
          <w:sz w:val="24"/>
        </w:rPr>
        <w:t>Three targeted recommendations are put forward for different stakeholders. For undergraduate learners, rational usage norms should be established: AI tools are applied for error checking and imitation practice instead of copying machine output directly, so as to avoid the decline of independent thinking capacity. For college English teachers, educators can integrate high-quality AI applications into daily homework arrangement, set fixed oral practicing tasks and supervise students’ scientific use of digital resources in regular teaching (Grab, 2023). For AI software developers, continuous technical upgrading is required to improve the precision of phonetic recognition and enhance the simulation degree of real-life interactive conversations to fix existing functional defects.</w:t>
      </w:r>
    </w:p>
    <w:p w14:paraId="7A4F91C8">
      <w:pPr>
        <w:rPr>
          <w:b/>
          <w:bCs/>
          <w:color w:val="000000"/>
          <w:sz w:val="24"/>
        </w:rPr>
      </w:pPr>
      <w:r>
        <w:rPr>
          <w:b/>
          <w:bCs/>
          <w:color w:val="000000"/>
          <w:sz w:val="24"/>
        </w:rPr>
        <w:br w:type="page"/>
      </w:r>
    </w:p>
    <w:p w14:paraId="7623B5D0">
      <w:pPr>
        <w:spacing w:line="360" w:lineRule="auto"/>
        <w:jc w:val="center"/>
        <w:rPr>
          <w:b/>
          <w:bCs/>
          <w:color w:val="000000"/>
          <w:sz w:val="24"/>
        </w:rPr>
      </w:pPr>
      <w:bookmarkStart w:id="0" w:name="_GoBack"/>
      <w:bookmarkEnd w:id="0"/>
      <w:r>
        <w:rPr>
          <w:b/>
          <w:bCs/>
          <w:color w:val="000000"/>
          <w:sz w:val="24"/>
        </w:rPr>
        <w:t>Conclusion</w:t>
      </w:r>
    </w:p>
    <w:p w14:paraId="40049C51">
      <w:pPr>
        <w:spacing w:line="480" w:lineRule="auto"/>
        <w:ind w:firstLine="480" w:firstLineChars="200"/>
        <w:rPr>
          <w:color w:val="000000"/>
          <w:sz w:val="24"/>
        </w:rPr>
      </w:pPr>
      <w:r>
        <w:rPr>
          <w:color w:val="000000"/>
          <w:sz w:val="24"/>
        </w:rPr>
        <w:t>This research focuses on the practical application of AI learning tools in undergraduates’ oral English training, collecting valid data from 50 sampled university students through questionnaires and semi-structured interviews to explore real usage status and practical learning effects of intelligent auxiliary resources. Research statistics manifest that over 60% of participants maintain frequent weekly use of AI oral applications, and 80% of respondents express positive satisfaction towards learning outcomes, demonstrating wide recognition and practical value of such digital learning tools in domestic tertiary oral English education.</w:t>
      </w:r>
    </w:p>
    <w:p w14:paraId="21B9BF71">
      <w:pPr>
        <w:spacing w:line="480" w:lineRule="auto"/>
        <w:ind w:firstLine="480" w:firstLineChars="200"/>
        <w:rPr>
          <w:color w:val="000000"/>
          <w:sz w:val="24"/>
        </w:rPr>
      </w:pPr>
      <w:r>
        <w:rPr>
          <w:color w:val="000000"/>
          <w:sz w:val="24"/>
        </w:rPr>
        <w:t>AI platforms break the limitation of time and location for oral drills, supply low-pressure practicing environments and instant targeted feedback on pronunciation and grammar, which helps learners improve oral accuracy step by step and ease communication nervousness. However, the study carries visible limitations. Limited by sampling conditions, all research participants come from a single university, so research outcomes cannot fully represent the overall situation of all Chinese undergraduates; besides, the study only collects short-term cross-sectional data without long-term follow-up tracking on learners’ oral proficiency changes. Future relevant research can expand sample scope covering multiple universities from different regions and launch longitudinal tracking experiments to acquire more comprehensive research evidence.</w:t>
      </w:r>
    </w:p>
    <w:p w14:paraId="02B1EBEF">
      <w:pPr>
        <w:spacing w:line="480" w:lineRule="auto"/>
        <w:ind w:firstLine="480" w:firstLineChars="200"/>
        <w:rPr>
          <w:color w:val="000000"/>
          <w:sz w:val="24"/>
        </w:rPr>
      </w:pPr>
      <w:r>
        <w:rPr>
          <w:color w:val="000000"/>
          <w:sz w:val="24"/>
        </w:rPr>
        <w:t>In general, AI language learning tools possess great development potential as effective supplements for traditional university oral English teaching. With scientific guidance from teachers, standardized learning habits of students and continuous technical optimization of developing companies, intelligent digital resources will further help Chinese undergraduates lower oral learning barriers, relieve speaking anxiety and realize sustainable improvement of comprehensive English communicative competence.</w:t>
      </w:r>
    </w:p>
    <w:p w14:paraId="00C94EF9">
      <w:pPr>
        <w:widowControl/>
        <w:jc w:val="left"/>
        <w:rPr>
          <w:color w:val="000000"/>
          <w:sz w:val="24"/>
        </w:rPr>
      </w:pPr>
      <w:r>
        <w:rPr>
          <w:color w:val="000000"/>
          <w:sz w:val="24"/>
        </w:rPr>
        <w:br w:type="page"/>
      </w:r>
    </w:p>
    <w:p w14:paraId="7EBB0477">
      <w:pPr>
        <w:pStyle w:val="4"/>
        <w:spacing w:line="360" w:lineRule="auto"/>
        <w:ind w:left="425"/>
        <w:jc w:val="center"/>
        <w:outlineLvl w:val="0"/>
        <w:rPr>
          <w:bCs w:val="0"/>
          <w:sz w:val="24"/>
        </w:rPr>
      </w:pPr>
      <w:r>
        <w:rPr>
          <w:bCs w:val="0"/>
          <w:sz w:val="24"/>
        </w:rPr>
        <w:t>References</w:t>
      </w:r>
    </w:p>
    <w:p w14:paraId="088E48E0">
      <w:pPr>
        <w:numPr>
          <w:ilvl w:val="0"/>
          <w:numId w:val="1"/>
        </w:numPr>
        <w:spacing w:line="480" w:lineRule="auto"/>
        <w:ind w:left="425" w:leftChars="0" w:hanging="425" w:firstLineChars="0"/>
        <w:rPr>
          <w:color w:val="000000"/>
          <w:sz w:val="24"/>
        </w:rPr>
      </w:pPr>
      <w:r>
        <w:rPr>
          <w:color w:val="000000"/>
          <w:sz w:val="24"/>
        </w:rPr>
        <w:t>Brown, H. D. (2014). Principles of language learning and teaching (6th ed.). Pearson Education.</w:t>
      </w:r>
    </w:p>
    <w:p w14:paraId="558E631C">
      <w:pPr>
        <w:numPr>
          <w:ilvl w:val="0"/>
          <w:numId w:val="1"/>
        </w:numPr>
        <w:spacing w:line="480" w:lineRule="auto"/>
        <w:ind w:left="425" w:leftChars="0" w:hanging="425" w:firstLineChars="0"/>
        <w:rPr>
          <w:color w:val="000000"/>
          <w:sz w:val="24"/>
        </w:rPr>
      </w:pPr>
      <w:r>
        <w:rPr>
          <w:color w:val="000000"/>
          <w:sz w:val="24"/>
        </w:rPr>
        <w:t>Chapelle, C. A. (2003). English language learning and technology. John Benjamins Publishing.</w:t>
      </w:r>
    </w:p>
    <w:p w14:paraId="527D09AE">
      <w:pPr>
        <w:numPr>
          <w:ilvl w:val="0"/>
          <w:numId w:val="1"/>
        </w:numPr>
        <w:spacing w:line="480" w:lineRule="auto"/>
        <w:ind w:left="425" w:leftChars="0" w:hanging="425" w:firstLineChars="0"/>
        <w:rPr>
          <w:color w:val="000000"/>
          <w:sz w:val="24"/>
        </w:rPr>
      </w:pPr>
      <w:r>
        <w:rPr>
          <w:color w:val="000000"/>
          <w:sz w:val="24"/>
        </w:rPr>
        <w:t>Grab, M. O. (2023). Strategies for integrating AI to improve English oral communication skills. International Journal of Research in Education, 11(3), 533–552.</w:t>
      </w:r>
    </w:p>
    <w:p w14:paraId="21E93041">
      <w:pPr>
        <w:numPr>
          <w:ilvl w:val="0"/>
          <w:numId w:val="1"/>
        </w:numPr>
        <w:spacing w:line="480" w:lineRule="auto"/>
        <w:ind w:left="425" w:leftChars="0" w:hanging="425" w:firstLineChars="0"/>
        <w:rPr>
          <w:color w:val="000000"/>
          <w:sz w:val="24"/>
        </w:rPr>
      </w:pPr>
      <w:r>
        <w:rPr>
          <w:color w:val="000000"/>
          <w:sz w:val="24"/>
        </w:rPr>
        <w:t>Li, M., &amp; Hegelheimer, V. (2013). The effect of automated feedback on ESL learners’ pronunciation improvement. Language Learning &amp; Technology, 17(2), 56–76.</w:t>
      </w:r>
    </w:p>
    <w:p w14:paraId="09ECF180">
      <w:pPr>
        <w:numPr>
          <w:ilvl w:val="0"/>
          <w:numId w:val="1"/>
        </w:numPr>
        <w:spacing w:line="480" w:lineRule="auto"/>
        <w:ind w:left="425" w:leftChars="0" w:hanging="425" w:firstLineChars="0"/>
        <w:rPr>
          <w:color w:val="000000"/>
          <w:sz w:val="24"/>
        </w:rPr>
      </w:pPr>
      <w:r>
        <w:rPr>
          <w:color w:val="000000"/>
          <w:sz w:val="24"/>
        </w:rPr>
        <w:t>Lin, L. (2021). The use of AI tools in college English oral teaching. Journal of Foreign Language Education and Technology, 3(2), 45–52.</w:t>
      </w:r>
    </w:p>
    <w:p w14:paraId="61F984B4">
      <w:pPr>
        <w:numPr>
          <w:ilvl w:val="0"/>
          <w:numId w:val="1"/>
        </w:numPr>
        <w:spacing w:line="480" w:lineRule="auto"/>
        <w:ind w:left="425" w:leftChars="0" w:hanging="425" w:firstLineChars="0"/>
        <w:rPr>
          <w:color w:val="000000"/>
          <w:sz w:val="24"/>
        </w:rPr>
      </w:pPr>
      <w:r>
        <w:rPr>
          <w:color w:val="000000"/>
          <w:sz w:val="24"/>
        </w:rPr>
        <w:t>Loor, A., et al. (2024). AI-assisted pronunciation training: Effects on fluency and accuracy. Computer Assisted Language Learning, 37(3), 289–312.</w:t>
      </w:r>
    </w:p>
    <w:p w14:paraId="3C64D8FD">
      <w:pPr>
        <w:numPr>
          <w:ilvl w:val="0"/>
          <w:numId w:val="1"/>
        </w:numPr>
        <w:spacing w:line="480" w:lineRule="auto"/>
        <w:ind w:left="425" w:leftChars="0" w:hanging="425" w:firstLineChars="0"/>
        <w:rPr>
          <w:color w:val="000000"/>
          <w:sz w:val="24"/>
        </w:rPr>
      </w:pPr>
      <w:r>
        <w:rPr>
          <w:color w:val="000000"/>
          <w:sz w:val="24"/>
        </w:rPr>
        <w:t>Schmidt, R. (1990). The role of consciousness in second language learning. Applied Linguistics, 11(2), 129–158.</w:t>
      </w:r>
    </w:p>
    <w:p w14:paraId="03E53576">
      <w:pPr>
        <w:numPr>
          <w:ilvl w:val="0"/>
          <w:numId w:val="1"/>
        </w:numPr>
        <w:spacing w:line="480" w:lineRule="auto"/>
        <w:ind w:left="425" w:leftChars="0" w:hanging="425" w:firstLineChars="0"/>
        <w:rPr>
          <w:color w:val="000000"/>
          <w:sz w:val="24"/>
        </w:rPr>
      </w:pPr>
      <w:r>
        <w:rPr>
          <w:color w:val="000000"/>
          <w:sz w:val="24"/>
        </w:rPr>
        <w:t>Pappas, S. (2022, March 12). How AI language tools boost oral English skills—and why balance matters. Science Daily.</w:t>
      </w:r>
    </w:p>
    <w:p w14:paraId="0B40914A">
      <w:pPr>
        <w:numPr>
          <w:ilvl w:val="0"/>
          <w:numId w:val="1"/>
        </w:numPr>
        <w:spacing w:line="480" w:lineRule="auto"/>
        <w:ind w:left="425" w:leftChars="0" w:hanging="425" w:firstLineChars="0"/>
        <w:rPr>
          <w:color w:val="000000"/>
          <w:sz w:val="24"/>
        </w:rPr>
      </w:pPr>
      <w:r>
        <w:rPr>
          <w:color w:val="000000"/>
          <w:sz w:val="24"/>
        </w:rPr>
        <w:t>Wang, Y. (2024). Empirical study on AI tools and oral English competence of Chinese undergraduates. Chinese Journal of Applied Linguistics, 47(1), 78–92.</w:t>
      </w:r>
    </w:p>
    <w:p w14:paraId="23173661">
      <w:pPr>
        <w:numPr>
          <w:ilvl w:val="0"/>
          <w:numId w:val="1"/>
        </w:numPr>
        <w:spacing w:line="480" w:lineRule="auto"/>
        <w:ind w:left="425" w:leftChars="0" w:hanging="425" w:firstLineChars="0"/>
        <w:rPr>
          <w:color w:val="000000"/>
          <w:sz w:val="24"/>
        </w:rPr>
      </w:pPr>
      <w:r>
        <w:rPr>
          <w:color w:val="000000"/>
          <w:sz w:val="24"/>
        </w:rPr>
        <w:t>Zou, F., et al. (2024). Chatbot-supported speaking practice for EFL learners. Journal of Computer-Assisted Language Learning, 36(1), 1–23.</w:t>
      </w:r>
    </w:p>
    <w:p w14:paraId="232CD698">
      <w:pPr>
        <w:spacing w:line="480" w:lineRule="auto"/>
        <w:ind w:firstLine="480" w:firstLineChars="200"/>
        <w:rPr>
          <w:color w:val="000000"/>
          <w:sz w:val="24"/>
        </w:rPr>
      </w:pPr>
    </w:p>
    <w:sectPr>
      <w:footerReference r:id="rId3" w:type="default"/>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C2BB9">
    <w:pPr>
      <w:pStyle w:val="6"/>
      <w:jc w:val="center"/>
    </w:pPr>
    <w:r>
      <w:fldChar w:fldCharType="begin"/>
    </w:r>
    <w:r>
      <w:rPr>
        <w:rStyle w:val="11"/>
      </w:rPr>
      <w:instrText xml:space="preserve"> PAGE </w:instrText>
    </w:r>
    <w:r>
      <w:fldChar w:fldCharType="separate"/>
    </w:r>
    <w:r>
      <w:rPr>
        <w:rStyle w:val="11"/>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57B5D"/>
    <w:multiLevelType w:val="singleLevel"/>
    <w:tmpl w:val="0DF57B5D"/>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BF"/>
    <w:rsid w:val="0002443E"/>
    <w:rsid w:val="000271EE"/>
    <w:rsid w:val="00045DE6"/>
    <w:rsid w:val="00121CC4"/>
    <w:rsid w:val="00182E88"/>
    <w:rsid w:val="001A4EFD"/>
    <w:rsid w:val="001B5542"/>
    <w:rsid w:val="001D4B98"/>
    <w:rsid w:val="00276DDB"/>
    <w:rsid w:val="002C56E1"/>
    <w:rsid w:val="00303ABD"/>
    <w:rsid w:val="003F6A9A"/>
    <w:rsid w:val="00400FF2"/>
    <w:rsid w:val="004D172F"/>
    <w:rsid w:val="00521C00"/>
    <w:rsid w:val="00573822"/>
    <w:rsid w:val="005E4ED0"/>
    <w:rsid w:val="00601E89"/>
    <w:rsid w:val="006211BF"/>
    <w:rsid w:val="00623F5E"/>
    <w:rsid w:val="0068013B"/>
    <w:rsid w:val="00694266"/>
    <w:rsid w:val="0072207B"/>
    <w:rsid w:val="007837B7"/>
    <w:rsid w:val="007952BB"/>
    <w:rsid w:val="007E0574"/>
    <w:rsid w:val="008968DC"/>
    <w:rsid w:val="008B5670"/>
    <w:rsid w:val="00926ECE"/>
    <w:rsid w:val="00954166"/>
    <w:rsid w:val="009817F2"/>
    <w:rsid w:val="009B4603"/>
    <w:rsid w:val="00B555CB"/>
    <w:rsid w:val="00BE385D"/>
    <w:rsid w:val="00BF187B"/>
    <w:rsid w:val="00C02BB4"/>
    <w:rsid w:val="00CF3173"/>
    <w:rsid w:val="00CF7DBD"/>
    <w:rsid w:val="00D13D85"/>
    <w:rsid w:val="00D26E7F"/>
    <w:rsid w:val="00D64EEA"/>
    <w:rsid w:val="00D85BC2"/>
    <w:rsid w:val="00D869A9"/>
    <w:rsid w:val="00D931C0"/>
    <w:rsid w:val="00DE6B5E"/>
    <w:rsid w:val="00E309CB"/>
    <w:rsid w:val="00E506F7"/>
    <w:rsid w:val="00EB50D9"/>
    <w:rsid w:val="00F16CED"/>
    <w:rsid w:val="00FB5E17"/>
    <w:rsid w:val="00FB5FFA"/>
    <w:rsid w:val="00FF1C4D"/>
    <w:rsid w:val="05F726D4"/>
    <w:rsid w:val="09C340D7"/>
    <w:rsid w:val="19141F05"/>
    <w:rsid w:val="25551BC9"/>
    <w:rsid w:val="2C8D153F"/>
    <w:rsid w:val="566363E9"/>
    <w:rsid w:val="6F1655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outlineLvl w:val="0"/>
    </w:pPr>
    <w:rPr>
      <w:rFonts w:ascii="Arial" w:hAnsi="Arial"/>
      <w:b/>
      <w:bCs/>
    </w:rPr>
  </w:style>
  <w:style w:type="paragraph" w:styleId="3">
    <w:name w:val="heading 2"/>
    <w:basedOn w:val="1"/>
    <w:next w:val="1"/>
    <w:link w:val="15"/>
    <w:qFormat/>
    <w:uiPriority w:val="0"/>
    <w:pPr>
      <w:keepNext/>
      <w:spacing w:line="360" w:lineRule="auto"/>
      <w:ind w:left="420" w:leftChars="200"/>
      <w:outlineLvl w:val="1"/>
    </w:pPr>
    <w:rPr>
      <w:b/>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8"/>
    <w:qFormat/>
    <w:uiPriority w:val="0"/>
    <w:rPr>
      <w:b/>
      <w:bCs/>
    </w:rPr>
  </w:style>
  <w:style w:type="paragraph" w:styleId="5">
    <w:name w:val="Body Text Indent"/>
    <w:basedOn w:val="1"/>
    <w:link w:val="17"/>
    <w:qFormat/>
    <w:uiPriority w:val="0"/>
    <w:pPr>
      <w:ind w:left="357" w:leftChars="170"/>
      <w:jc w:val="left"/>
    </w:pPr>
  </w:style>
  <w:style w:type="paragraph" w:styleId="6">
    <w:name w:val="footer"/>
    <w:basedOn w:val="1"/>
    <w:link w:val="16"/>
    <w:qFormat/>
    <w:uiPriority w:val="0"/>
    <w:pPr>
      <w:tabs>
        <w:tab w:val="center" w:pos="4320"/>
        <w:tab w:val="right" w:pos="8640"/>
      </w:tabs>
    </w:pPr>
  </w:style>
  <w:style w:type="paragraph" w:styleId="7">
    <w:name w:val="header"/>
    <w:basedOn w:val="1"/>
    <w:link w:val="19"/>
    <w:unhideWhenUsed/>
    <w:qFormat/>
    <w:uiPriority w:val="99"/>
    <w:pPr>
      <w:tabs>
        <w:tab w:val="center" w:pos="4153"/>
        <w:tab w:val="right" w:pos="8306"/>
      </w:tabs>
      <w:snapToGrid w:val="0"/>
      <w:jc w:val="center"/>
    </w:pPr>
    <w:rPr>
      <w:sz w:val="18"/>
      <w:szCs w:val="18"/>
    </w:rPr>
  </w:style>
  <w:style w:type="paragraph" w:styleId="8">
    <w:name w:val="Title"/>
    <w:basedOn w:val="1"/>
    <w:link w:val="20"/>
    <w:qFormat/>
    <w:uiPriority w:val="0"/>
    <w:pPr>
      <w:spacing w:line="360" w:lineRule="auto"/>
      <w:jc w:val="center"/>
    </w:pPr>
    <w:rPr>
      <w:rFonts w:ascii="Arial" w:hAnsi="Arial" w:cs="Arial"/>
      <w:b/>
      <w:sz w:val="30"/>
      <w:szCs w:val="30"/>
    </w:rPr>
  </w:style>
  <w:style w:type="character" w:styleId="11">
    <w:name w:val="page number"/>
    <w:basedOn w:val="10"/>
    <w:qFormat/>
    <w:uiPriority w:val="0"/>
  </w:style>
  <w:style w:type="character" w:styleId="12">
    <w:name w:val="FollowedHyperlink"/>
    <w:basedOn w:val="10"/>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0"/>
    <w:unhideWhenUsed/>
    <w:qFormat/>
    <w:uiPriority w:val="99"/>
    <w:rPr>
      <w:color w:val="0000FF" w:themeColor="hyperlink"/>
      <w:u w:val="single"/>
      <w14:textFill>
        <w14:solidFill>
          <w14:schemeClr w14:val="hlink"/>
        </w14:solidFill>
      </w14:textFill>
    </w:rPr>
  </w:style>
  <w:style w:type="character" w:customStyle="1" w:styleId="14">
    <w:name w:val="标题 1 字符"/>
    <w:basedOn w:val="10"/>
    <w:link w:val="2"/>
    <w:qFormat/>
    <w:uiPriority w:val="0"/>
    <w:rPr>
      <w:rFonts w:ascii="Arial" w:hAnsi="Arial" w:eastAsia="宋体" w:cs="Times New Roman"/>
      <w:b/>
      <w:bCs/>
      <w:sz w:val="21"/>
    </w:rPr>
  </w:style>
  <w:style w:type="character" w:customStyle="1" w:styleId="15">
    <w:name w:val="标题 2 字符"/>
    <w:basedOn w:val="10"/>
    <w:link w:val="3"/>
    <w:qFormat/>
    <w:uiPriority w:val="0"/>
    <w:rPr>
      <w:rFonts w:ascii="Times New Roman" w:hAnsi="Times New Roman" w:eastAsia="宋体" w:cs="Times New Roman"/>
      <w:b/>
      <w:bCs/>
      <w:sz w:val="21"/>
    </w:rPr>
  </w:style>
  <w:style w:type="character" w:customStyle="1" w:styleId="16">
    <w:name w:val="页脚 字符"/>
    <w:basedOn w:val="10"/>
    <w:link w:val="6"/>
    <w:qFormat/>
    <w:uiPriority w:val="0"/>
    <w:rPr>
      <w:rFonts w:ascii="Times New Roman" w:hAnsi="Times New Roman" w:eastAsia="宋体" w:cs="Times New Roman"/>
      <w:sz w:val="21"/>
    </w:rPr>
  </w:style>
  <w:style w:type="character" w:customStyle="1" w:styleId="17">
    <w:name w:val="正文文本缩进 字符"/>
    <w:basedOn w:val="10"/>
    <w:link w:val="5"/>
    <w:qFormat/>
    <w:uiPriority w:val="0"/>
    <w:rPr>
      <w:rFonts w:ascii="Times New Roman" w:hAnsi="Times New Roman" w:eastAsia="宋体" w:cs="Times New Roman"/>
      <w:sz w:val="21"/>
    </w:rPr>
  </w:style>
  <w:style w:type="character" w:customStyle="1" w:styleId="18">
    <w:name w:val="正文文本 字符"/>
    <w:basedOn w:val="10"/>
    <w:link w:val="4"/>
    <w:qFormat/>
    <w:uiPriority w:val="0"/>
    <w:rPr>
      <w:rFonts w:ascii="Times New Roman" w:hAnsi="Times New Roman" w:eastAsia="宋体" w:cs="Times New Roman"/>
      <w:b/>
      <w:bCs/>
      <w:sz w:val="21"/>
    </w:rPr>
  </w:style>
  <w:style w:type="character" w:customStyle="1" w:styleId="19">
    <w:name w:val="页眉 字符"/>
    <w:basedOn w:val="10"/>
    <w:link w:val="7"/>
    <w:qFormat/>
    <w:uiPriority w:val="99"/>
    <w:rPr>
      <w:rFonts w:ascii="Times New Roman" w:hAnsi="Times New Roman" w:eastAsia="宋体" w:cs="Times New Roman"/>
      <w:sz w:val="18"/>
      <w:szCs w:val="18"/>
    </w:rPr>
  </w:style>
  <w:style w:type="character" w:customStyle="1" w:styleId="20">
    <w:name w:val="标题 字符"/>
    <w:basedOn w:val="10"/>
    <w:link w:val="8"/>
    <w:qFormat/>
    <w:uiPriority w:val="0"/>
    <w:rPr>
      <w:rFonts w:ascii="Arial" w:hAnsi="Arial" w:eastAsia="宋体" w:cs="Arial"/>
      <w:b/>
      <w:sz w:val="30"/>
      <w:szCs w:val="30"/>
    </w:rPr>
  </w:style>
  <w:style w:type="character" w:customStyle="1" w:styleId="21">
    <w:name w:val="Unresolved Mention"/>
    <w:basedOn w:val="10"/>
    <w:semiHidden/>
    <w:unhideWhenUsed/>
    <w:qFormat/>
    <w:uiPriority w:val="99"/>
    <w:rPr>
      <w:color w:val="605E5C"/>
      <w:shd w:val="clear" w:color="auto" w:fill="E1DFDD"/>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81636-3D58-41FD-88C1-2AE4B1CBED59}">
  <ds:schemaRefs/>
</ds:datastoreItem>
</file>

<file path=docProps/app.xml><?xml version="1.0" encoding="utf-8"?>
<Properties xmlns="http://schemas.openxmlformats.org/officeDocument/2006/extended-properties" xmlns:vt="http://schemas.openxmlformats.org/officeDocument/2006/docPropsVTypes">
  <Template>Normal.dotm</Template>
  <Company>harborrise</Company>
  <Pages>12</Pages>
  <Words>2055</Words>
  <Characters>13876</Characters>
  <Lines>171</Lines>
  <Paragraphs>48</Paragraphs>
  <TotalTime>1</TotalTime>
  <ScaleCrop>false</ScaleCrop>
  <LinksUpToDate>false</LinksUpToDate>
  <CharactersWithSpaces>15880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2026-06-25T12:41:00Z</dcterms:created>
  <dc:creator>stanley ma</dc:creator>
  <cp:lastModifiedBy>WPS_1778407054</cp:lastModifiedBy>
  <dcterms:modified xsi:type="dcterms:W3CDTF">2026-07-03T02:00:18Z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eyJoZGlkIjoiMTI2NjZhNDYzY2QzMWFhNTJhOWY4YjFhOTM0ODU2MWYiLCJ1c2VySWQiOiIxODM5NTE1NzgyIn0=</vt:lpwstr>
  </property>
  <property fmtid="{D5CDD505-2E9C-101B-9397-08002B2CF9AE}" pid="3" name="KSOProductBuildVer">
    <vt:lpwstr>2052-12.1.0.26895</vt:lpwstr>
  </property>
  <property fmtid="{D5CDD505-2E9C-101B-9397-08002B2CF9AE}" pid="4" name="ICV">
    <vt:lpwstr>8BC273DA68C14361A6138C0383CC4C01_12</vt:lpwstr>
  </property>
</Properties>
</file>